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00" w:before="100"/>
        <w:contextualSpacing w:val="false"/>
        <w:jc w:val="center"/>
        <w:rPr>
          <w:rFonts w:ascii="Arial" w:cs="Times New Roman" w:hAnsi="Arial"/>
          <w:b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b/>
          <w:color w:val="000000"/>
          <w:spacing w:val="-2"/>
          <w:sz w:val="28"/>
          <w:szCs w:val="28"/>
        </w:rPr>
        <w:t xml:space="preserve">MOZIONE APPROVATA </w:t>
      </w:r>
      <w:bookmarkStart w:id="0" w:name="_GoBack"/>
      <w:bookmarkEnd w:id="0"/>
      <w:r>
        <w:rPr>
          <w:rFonts w:ascii="Arial" w:cs="Times New Roman" w:hAnsi="Arial"/>
          <w:b/>
          <w:color w:val="000000"/>
          <w:spacing w:val="-2"/>
          <w:sz w:val="28"/>
          <w:szCs w:val="28"/>
        </w:rPr>
        <w:t xml:space="preserve">DAL COLLEGIO DOCENTI DELL’I.I.S. F. CORNI </w:t>
      </w:r>
    </w:p>
    <w:p>
      <w:pPr>
        <w:pStyle w:val="style0"/>
        <w:spacing w:after="100" w:before="100"/>
        <w:contextualSpacing w:val="false"/>
        <w:jc w:val="both"/>
        <w:rPr>
          <w:rFonts w:ascii="Arial" w:cs="Times New Roman" w:hAnsi="Arial"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color w:val="000000"/>
          <w:spacing w:val="-2"/>
          <w:sz w:val="28"/>
          <w:szCs w:val="28"/>
        </w:rPr>
        <w:t xml:space="preserve">Il Collegio dei Docenti dell’I.I.S. Fermo Corni di Modena, riunito il giorno 13 gennaio 2016, </w:t>
      </w:r>
      <w:r>
        <w:rPr>
          <w:rFonts w:ascii="Arial" w:cs="Times New Roman" w:hAnsi="Arial"/>
          <w:b/>
          <w:color w:val="000000"/>
          <w:spacing w:val="-2"/>
          <w:sz w:val="28"/>
          <w:szCs w:val="28"/>
        </w:rPr>
        <w:t>per l’elezione di due componenti del Comitato di valutazione dei docenti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 xml:space="preserve"> (commi n. 126, 127, 128, 129 e 130 dell'art. 1 della legge 107/2015), </w:t>
      </w:r>
    </w:p>
    <w:p>
      <w:pPr>
        <w:pStyle w:val="style0"/>
        <w:spacing w:after="100" w:before="100"/>
        <w:contextualSpacing w:val="false"/>
        <w:jc w:val="both"/>
        <w:rPr>
          <w:rFonts w:ascii="Arial" w:cs="Times New Roman" w:hAnsi="Arial"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color w:val="000000"/>
          <w:spacing w:val="-2"/>
          <w:sz w:val="28"/>
          <w:szCs w:val="28"/>
        </w:rPr>
      </w:r>
    </w:p>
    <w:p>
      <w:pPr>
        <w:pStyle w:val="style0"/>
        <w:spacing w:after="100" w:before="100"/>
        <w:contextualSpacing w:val="false"/>
        <w:jc w:val="center"/>
        <w:rPr>
          <w:rFonts w:ascii="Arial" w:cs="Times New Roman" w:hAnsi="Arial"/>
          <w:b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b/>
          <w:color w:val="000000"/>
          <w:spacing w:val="-2"/>
          <w:sz w:val="28"/>
          <w:szCs w:val="28"/>
        </w:rPr>
        <w:t xml:space="preserve">DELIBERA </w:t>
      </w:r>
    </w:p>
    <w:p>
      <w:pPr>
        <w:pStyle w:val="style0"/>
        <w:spacing w:after="100" w:before="100"/>
        <w:contextualSpacing w:val="false"/>
        <w:jc w:val="center"/>
        <w:rPr>
          <w:rFonts w:ascii="Arial" w:cs="Times New Roman" w:hAnsi="Arial"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color w:val="000000"/>
          <w:spacing w:val="-2"/>
          <w:sz w:val="28"/>
          <w:szCs w:val="28"/>
        </w:rPr>
        <w:t xml:space="preserve">Di procedere all’elezione a scrutinio segreto </w:t>
      </w:r>
    </w:p>
    <w:p>
      <w:pPr>
        <w:pStyle w:val="style0"/>
        <w:spacing w:after="100" w:before="100"/>
        <w:contextualSpacing w:val="false"/>
        <w:jc w:val="center"/>
        <w:rPr>
          <w:rFonts w:ascii="Arial" w:cs="Times New Roman" w:hAnsi="Arial"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color w:val="000000"/>
          <w:spacing w:val="-2"/>
          <w:sz w:val="28"/>
          <w:szCs w:val="28"/>
        </w:rPr>
      </w:r>
    </w:p>
    <w:p>
      <w:pPr>
        <w:pStyle w:val="style0"/>
        <w:spacing w:after="100" w:before="100"/>
        <w:contextualSpacing w:val="false"/>
        <w:jc w:val="center"/>
        <w:rPr>
          <w:rFonts w:ascii="Arial" w:cs="Times New Roman" w:hAnsi="Arial"/>
          <w:b/>
          <w:bCs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b/>
          <w:bCs/>
          <w:color w:val="000000"/>
          <w:spacing w:val="-2"/>
          <w:sz w:val="28"/>
          <w:szCs w:val="28"/>
        </w:rPr>
      </w:r>
    </w:p>
    <w:p>
      <w:pPr>
        <w:pStyle w:val="style0"/>
        <w:spacing w:after="100" w:before="100"/>
        <w:contextualSpacing w:val="false"/>
        <w:jc w:val="center"/>
        <w:rPr>
          <w:rFonts w:ascii="Arial" w:cs="Times New Roman" w:eastAsia="Times New Roman" w:hAnsi="Arial"/>
          <w:b/>
          <w:color w:val="00000A"/>
          <w:spacing w:val="1"/>
          <w:sz w:val="28"/>
          <w:szCs w:val="28"/>
        </w:rPr>
      </w:pPr>
      <w:r>
        <w:rPr>
          <w:rFonts w:ascii="Arial" w:cs="Times New Roman" w:eastAsia="Times New Roman" w:hAnsi="Arial"/>
          <w:b/>
          <w:color w:val="00000A"/>
          <w:spacing w:val="1"/>
          <w:sz w:val="28"/>
          <w:szCs w:val="28"/>
        </w:rPr>
        <w:t>CHIEDE AI DOCENTI CHE VERRANNO ELETTI</w:t>
      </w:r>
    </w:p>
    <w:p>
      <w:pPr>
        <w:pStyle w:val="style0"/>
        <w:numPr>
          <w:ilvl w:val="0"/>
          <w:numId w:val="3"/>
        </w:numPr>
        <w:spacing w:after="100" w:before="100"/>
        <w:contextualSpacing w:val="false"/>
        <w:jc w:val="both"/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pPr>
      <w:r>
        <w:rPr>
          <w:rFonts w:ascii="Arial" w:cs="Times New Roman" w:eastAsia="Times New Roman" w:hAnsi="Arial"/>
          <w:color w:val="00000A"/>
          <w:spacing w:val="1"/>
          <w:sz w:val="28"/>
          <w:szCs w:val="28"/>
        </w:rPr>
        <w:t>di condividere con tutti i colleghi i criteri per la valutazione del merito e l’attribuzione del bonus premiale da proporre alle altre componenti del comitato di valutazione;</w:t>
      </w:r>
    </w:p>
    <w:p>
      <w:pPr>
        <w:pStyle w:val="style0"/>
        <w:spacing w:after="100" w:before="100"/>
        <w:contextualSpacing w:val="false"/>
        <w:jc w:val="both"/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pPr>
      <w:r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r>
    </w:p>
    <w:p>
      <w:pPr>
        <w:pStyle w:val="style0"/>
        <w:spacing w:after="100" w:before="100"/>
        <w:contextualSpacing w:val="false"/>
        <w:jc w:val="center"/>
        <w:rPr>
          <w:rFonts w:ascii="Arial" w:cs="Times New Roman" w:eastAsia="Times New Roman" w:hAnsi="Arial"/>
          <w:b/>
          <w:color w:val="00000A"/>
          <w:spacing w:val="1"/>
          <w:sz w:val="28"/>
          <w:szCs w:val="28"/>
        </w:rPr>
      </w:pPr>
      <w:r>
        <w:rPr>
          <w:rFonts w:ascii="Arial" w:cs="Times New Roman" w:eastAsia="Times New Roman" w:hAnsi="Arial"/>
          <w:b/>
          <w:color w:val="00000A"/>
          <w:spacing w:val="1"/>
          <w:sz w:val="28"/>
          <w:szCs w:val="28"/>
        </w:rPr>
        <w:t>PROMUOVE</w:t>
      </w:r>
    </w:p>
    <w:p>
      <w:pPr>
        <w:pStyle w:val="style0"/>
        <w:numPr>
          <w:ilvl w:val="0"/>
          <w:numId w:val="3"/>
        </w:numPr>
        <w:spacing w:after="100" w:before="100"/>
        <w:contextualSpacing w:val="false"/>
        <w:jc w:val="both"/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pPr>
      <w:r>
        <w:rPr>
          <w:rFonts w:ascii="Arial" w:cs="Times New Roman" w:eastAsia="Times New Roman" w:hAnsi="Arial"/>
          <w:color w:val="00000A"/>
          <w:spacing w:val="1"/>
          <w:sz w:val="28"/>
          <w:szCs w:val="28"/>
        </w:rPr>
        <w:t xml:space="preserve">la costituzione di un </w:t>
      </w:r>
      <w:r>
        <w:rPr>
          <w:rFonts w:ascii="Arial" w:cs="Times New Roman" w:eastAsia="Times New Roman" w:hAnsi="Arial"/>
          <w:b/>
          <w:color w:val="00000A"/>
          <w:spacing w:val="1"/>
          <w:sz w:val="28"/>
          <w:szCs w:val="28"/>
        </w:rPr>
        <w:t>gruppo di lavoro aperto</w:t>
      </w:r>
      <w:r>
        <w:rPr>
          <w:rFonts w:ascii="Arial" w:cs="Times New Roman" w:eastAsia="Times New Roman" w:hAnsi="Arial"/>
          <w:color w:val="00000A"/>
          <w:spacing w:val="1"/>
          <w:sz w:val="28"/>
          <w:szCs w:val="28"/>
        </w:rPr>
        <w:t xml:space="preserve"> a tutti i docenti con il compito di sostenere con contributi e proposte il lavoro dei due eletti nel comitato di valutazione;</w:t>
      </w:r>
    </w:p>
    <w:p>
      <w:pPr>
        <w:pStyle w:val="style0"/>
        <w:spacing w:after="100" w:before="100"/>
        <w:ind w:hanging="0" w:left="360" w:right="0"/>
        <w:contextualSpacing w:val="false"/>
        <w:jc w:val="both"/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pPr>
      <w:r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r>
    </w:p>
    <w:p>
      <w:pPr>
        <w:pStyle w:val="style0"/>
        <w:spacing w:after="100" w:before="100"/>
        <w:ind w:hanging="0" w:left="360" w:right="0"/>
        <w:contextualSpacing w:val="false"/>
        <w:jc w:val="center"/>
        <w:rPr>
          <w:rFonts w:ascii="Arial" w:cs="Times New Roman" w:hAnsi="Arial"/>
          <w:b/>
          <w:bCs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b/>
          <w:bCs/>
          <w:color w:val="000000"/>
          <w:spacing w:val="-2"/>
          <w:sz w:val="28"/>
          <w:szCs w:val="28"/>
        </w:rPr>
        <w:t>CONSIDERATO CHE LA LEGGE 107</w:t>
      </w:r>
    </w:p>
    <w:p>
      <w:pPr>
        <w:pStyle w:val="style0"/>
        <w:numPr>
          <w:ilvl w:val="0"/>
          <w:numId w:val="1"/>
        </w:numPr>
        <w:spacing w:after="100" w:before="100"/>
        <w:contextualSpacing w:val="false"/>
        <w:rPr>
          <w:rFonts w:ascii="Arial" w:cs="Times New Roman" w:hAnsi="Arial"/>
          <w:color w:val="000000"/>
          <w:spacing w:val="1"/>
          <w:sz w:val="28"/>
          <w:szCs w:val="28"/>
        </w:rPr>
      </w:pPr>
      <w:r>
        <w:rPr>
          <w:rFonts w:ascii="Arial" w:cs="Times New Roman" w:hAnsi="Arial"/>
          <w:color w:val="000000"/>
          <w:spacing w:val="-2"/>
          <w:sz w:val="28"/>
          <w:szCs w:val="28"/>
        </w:rPr>
        <w:t>attribuisce al “bonus” natura di “retribuzione accessoria” (comma 128) e in quanto tale materia di contrattazione sindacale (</w:t>
      </w:r>
      <w:r>
        <w:rPr>
          <w:rFonts w:ascii="Arial" w:cs="Times New Roman" w:hAnsi="Arial"/>
          <w:color w:val="000000"/>
          <w:spacing w:val="-1"/>
          <w:sz w:val="28"/>
          <w:szCs w:val="28"/>
        </w:rPr>
        <w:t>a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r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t</w:t>
      </w:r>
      <w:r>
        <w:rPr>
          <w:rFonts w:ascii="Arial" w:cs="Times New Roman" w:hAnsi="Arial"/>
          <w:color w:val="000000"/>
          <w:spacing w:val="-1"/>
          <w:sz w:val="28"/>
          <w:szCs w:val="28"/>
        </w:rPr>
        <w:t>t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.</w:t>
      </w:r>
      <w:r>
        <w:rPr>
          <w:rFonts w:ascii="Arial" w:cs="Times New Roman" w:hAnsi="Arial"/>
          <w:color w:val="000000"/>
          <w:spacing w:val="2"/>
          <w:sz w:val="28"/>
          <w:szCs w:val="28"/>
        </w:rPr>
        <w:t xml:space="preserve"> 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2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,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 xml:space="preserve"> 4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2</w:t>
      </w:r>
      <w:r>
        <w:rPr>
          <w:rFonts w:ascii="Arial" w:cs="Times New Roman" w:hAnsi="Arial"/>
          <w:color w:val="000000"/>
          <w:spacing w:val="2"/>
          <w:sz w:val="28"/>
          <w:szCs w:val="28"/>
        </w:rPr>
        <w:t xml:space="preserve"> 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e</w:t>
      </w:r>
      <w:r>
        <w:rPr>
          <w:rFonts w:ascii="Arial" w:cs="Times New Roman" w:hAnsi="Arial"/>
          <w:color w:val="000000"/>
          <w:spacing w:val="2"/>
          <w:sz w:val="28"/>
          <w:szCs w:val="28"/>
        </w:rPr>
        <w:t xml:space="preserve"> 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4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5</w:t>
      </w:r>
      <w:r>
        <w:rPr>
          <w:rFonts w:ascii="Arial" w:cs="Times New Roman" w:hAnsi="Arial"/>
          <w:color w:val="000000"/>
          <w:spacing w:val="2"/>
          <w:sz w:val="28"/>
          <w:szCs w:val="28"/>
        </w:rPr>
        <w:t xml:space="preserve"> 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del</w:t>
      </w:r>
      <w:r>
        <w:rPr>
          <w:rFonts w:ascii="Arial" w:cs="Times New Roman" w:hAnsi="Arial"/>
          <w:color w:val="000000"/>
          <w:spacing w:val="2"/>
          <w:sz w:val="28"/>
          <w:szCs w:val="28"/>
        </w:rPr>
        <w:t xml:space="preserve"> 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d</w:t>
      </w:r>
      <w:r>
        <w:rPr>
          <w:rFonts w:ascii="Arial" w:cs="Times New Roman" w:hAnsi="Arial"/>
          <w:color w:val="000000"/>
          <w:spacing w:val="-1"/>
          <w:sz w:val="28"/>
          <w:szCs w:val="28"/>
        </w:rPr>
        <w:t>.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L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gs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 xml:space="preserve">. 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165</w:t>
      </w:r>
      <w:r>
        <w:rPr>
          <w:rFonts w:ascii="Arial" w:cs="Times New Roman" w:hAnsi="Arial"/>
          <w:color w:val="000000"/>
          <w:spacing w:val="-2"/>
          <w:sz w:val="28"/>
          <w:szCs w:val="28"/>
        </w:rPr>
        <w:t>/2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0</w:t>
      </w:r>
      <w:r>
        <w:rPr>
          <w:rFonts w:ascii="Arial" w:cs="Times New Roman" w:hAnsi="Arial"/>
          <w:color w:val="000000"/>
          <w:spacing w:val="-1"/>
          <w:sz w:val="28"/>
          <w:szCs w:val="28"/>
        </w:rPr>
        <w:t>0</w:t>
      </w:r>
      <w:r>
        <w:rPr>
          <w:rFonts w:ascii="Arial" w:cs="Times New Roman" w:hAnsi="Arial"/>
          <w:color w:val="000000"/>
          <w:spacing w:val="1"/>
          <w:sz w:val="28"/>
          <w:szCs w:val="28"/>
        </w:rPr>
        <w:t>1);</w:t>
      </w:r>
    </w:p>
    <w:p>
      <w:pPr>
        <w:pStyle w:val="style0"/>
        <w:numPr>
          <w:ilvl w:val="0"/>
          <w:numId w:val="1"/>
        </w:numPr>
        <w:spacing w:after="100" w:before="100"/>
        <w:contextualSpacing w:val="false"/>
        <w:rPr>
          <w:rFonts w:ascii="Arial" w:cs="Times New Roman" w:hAnsi="Arial"/>
          <w:color w:val="000000"/>
          <w:spacing w:val="1"/>
          <w:sz w:val="28"/>
          <w:szCs w:val="28"/>
        </w:rPr>
      </w:pPr>
      <w:r>
        <w:rPr>
          <w:rFonts w:ascii="Arial" w:cs="Times New Roman" w:hAnsi="Arial"/>
          <w:color w:val="000000"/>
          <w:spacing w:val="1"/>
          <w:sz w:val="28"/>
          <w:szCs w:val="28"/>
        </w:rPr>
        <w:t>attribuisce al Comitato di valutazione solo il compito di individuare i criteri qualitativi;</w:t>
      </w:r>
    </w:p>
    <w:p>
      <w:pPr>
        <w:pStyle w:val="style0"/>
        <w:spacing w:after="100" w:before="100"/>
        <w:ind w:hanging="0" w:left="360" w:right="0"/>
        <w:contextualSpacing w:val="false"/>
        <w:jc w:val="center"/>
        <w:rPr>
          <w:rFonts w:ascii="Arial" w:cs="Times New Roman" w:hAnsi="Arial"/>
          <w:b/>
          <w:color w:val="000000"/>
          <w:spacing w:val="-2"/>
          <w:sz w:val="28"/>
          <w:szCs w:val="28"/>
        </w:rPr>
      </w:pPr>
      <w:r>
        <w:rPr>
          <w:rFonts w:ascii="Arial" w:cs="Times New Roman" w:hAnsi="Arial"/>
          <w:b/>
          <w:color w:val="000000"/>
          <w:spacing w:val="-2"/>
          <w:sz w:val="28"/>
          <w:szCs w:val="28"/>
        </w:rPr>
        <w:t>CHIEDE</w:t>
      </w:r>
    </w:p>
    <w:p>
      <w:pPr>
        <w:pStyle w:val="style0"/>
        <w:numPr>
          <w:ilvl w:val="0"/>
          <w:numId w:val="2"/>
        </w:numPr>
        <w:spacing w:after="100" w:before="100"/>
        <w:contextualSpacing w:val="false"/>
        <w:jc w:val="both"/>
        <w:rPr>
          <w:rFonts w:ascii="Arial" w:cs="Times New Roman" w:eastAsia="Times New Roman" w:hAnsi="Arial"/>
          <w:color w:val="00000A"/>
          <w:spacing w:val="1"/>
          <w:sz w:val="28"/>
          <w:szCs w:val="28"/>
        </w:rPr>
      </w:pPr>
      <w:r>
        <w:rPr>
          <w:rFonts w:ascii="Arial" w:cs="Times New Roman" w:hAnsi="Arial"/>
          <w:color w:val="00000A"/>
          <w:spacing w:val="-2"/>
          <w:sz w:val="28"/>
          <w:szCs w:val="28"/>
        </w:rPr>
        <w:t xml:space="preserve">che la ripartizione </w:t>
      </w:r>
      <w:r>
        <w:rPr>
          <w:rFonts w:ascii="Arial" w:cs="Times New Roman" w:eastAsia="Times New Roman" w:hAnsi="Arial"/>
          <w:color w:val="00000A"/>
          <w:spacing w:val="1"/>
          <w:sz w:val="28"/>
          <w:szCs w:val="28"/>
        </w:rPr>
        <w:t>quantitativa del “bonus sia affidata ad una Intesa negoziale tra DS e RSU parallela, ma distinta, rispetto alla contrattazione del FIS, con l’obiettivo prioritario di utilizzare al meglio le risorse disponibili per il miglioramento dell’offerta formativa.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-2457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Microsoft YaHe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100" w:lineRule="atLeast"/>
      <w:contextualSpacing w:val="false"/>
      <w:textAlignment w:val="baseline"/>
    </w:pPr>
    <w:rPr>
      <w:rFonts w:ascii="Microsoft YaHei" w:cs="Liberation Sans" w:eastAsia="Tahoma" w:hAnsi="Microsoft YaHei"/>
      <w:color w:val="FFFFFF"/>
      <w:sz w:val="36"/>
      <w:szCs w:val="24"/>
      <w:lang w:bidi="hi-IN" w:eastAsia="zh-CN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Tito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l testo"/>
    <w:basedOn w:val="style0"/>
    <w:next w:val="style19"/>
    <w:pPr>
      <w:spacing w:after="120" w:before="0"/>
      <w:contextualSpacing w:val="false"/>
    </w:pPr>
    <w:rPr/>
  </w:style>
  <w:style w:styleId="style20" w:type="paragraph">
    <w:name w:val="Elenco"/>
    <w:basedOn w:val="style19"/>
    <w:next w:val="style20"/>
    <w:pPr/>
    <w:rPr>
      <w:rFonts w:cs="Mangal"/>
    </w:rPr>
  </w:style>
  <w:style w:styleId="style21" w:type="paragraph">
    <w:name w:val="Didascali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ice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2016-01-13T13:19:00Z</dcterms:created>
  <dc:creator>utente</dc:creator>
  <cp:lastModifiedBy>Mauro Solmi</cp:lastModifiedBy>
  <cp:lastPrinted>2016-01-13T13:23:00Z</cp:lastPrinted>
  <dcterms:modified xsi:type="dcterms:W3CDTF">2016-01-22T19:56:00Z</dcterms:modified>
  <cp:revision>5</cp:revision>
</cp:coreProperties>
</file>